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CD" w:rsidRPr="002A0F26" w:rsidRDefault="004F47CD" w:rsidP="004F47CD">
      <w:pPr>
        <w:shd w:val="clear" w:color="auto" w:fill="000000"/>
        <w:spacing w:after="0" w:line="240" w:lineRule="auto"/>
        <w:jc w:val="center"/>
        <w:rPr>
          <w:rFonts w:eastAsia="Times New Roman" w:cstheme="minorHAnsi"/>
        </w:rPr>
      </w:pPr>
      <w:r w:rsidRPr="002A0F26">
        <w:rPr>
          <w:rFonts w:eastAsia="Times New Roman" w:cstheme="minorHAnsi"/>
          <w:b/>
          <w:bCs/>
        </w:rPr>
        <w:t>Denver Teacher Residency</w:t>
      </w:r>
    </w:p>
    <w:p w:rsidR="00D0543F" w:rsidRPr="002A0F26" w:rsidRDefault="00E902FE" w:rsidP="0047641D">
      <w:pPr>
        <w:shd w:val="clear" w:color="auto" w:fill="000000"/>
        <w:spacing w:after="0" w:line="240" w:lineRule="auto"/>
        <w:jc w:val="center"/>
        <w:outlineLvl w:val="3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CUI 4450 </w:t>
      </w:r>
      <w:r w:rsidR="0008437E">
        <w:rPr>
          <w:rFonts w:ascii="Arial" w:hAnsi="Arial" w:cs="Arial"/>
        </w:rPr>
        <w:t>Education and Psychology of Exceptional Children</w:t>
      </w:r>
      <w:r w:rsidR="0047641D" w:rsidRPr="0047641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8437E" w:rsidRDefault="00E13559" w:rsidP="003F741B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June 18</w:t>
      </w:r>
      <w:r w:rsidR="003F741B">
        <w:rPr>
          <w:rFonts w:ascii="Arial" w:hAnsi="Arial" w:cs="Arial"/>
          <w:sz w:val="20"/>
          <w:szCs w:val="20"/>
        </w:rPr>
        <w:t>, 2012</w:t>
      </w:r>
    </w:p>
    <w:p w:rsidR="00D23D2A" w:rsidRDefault="003F741B" w:rsidP="00E902FE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1:00-4:00</w:t>
      </w:r>
    </w:p>
    <w:p w:rsidR="00E74D09" w:rsidRDefault="00E74D09" w:rsidP="00E74D09">
      <w:pPr>
        <w:shd w:val="clear" w:color="auto" w:fill="00000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Exit Slip</w:t>
      </w:r>
    </w:p>
    <w:p w:rsidR="004F0B0E" w:rsidRDefault="004B51E0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8pt;margin-top:50.05pt;width:539.1pt;height:25.2pt;z-index:251658240">
            <v:textbox style="mso-next-textbox:#_x0000_s1026">
              <w:txbxContent>
                <w:p w:rsidR="00E74D09" w:rsidRDefault="00E74D09">
                  <w:r>
                    <w:t>Name:</w:t>
                  </w:r>
                </w:p>
              </w:txbxContent>
            </v:textbox>
          </v:shape>
        </w:pict>
      </w:r>
      <w:r w:rsidR="0047641D">
        <w:rPr>
          <w:rFonts w:ascii="Arial" w:hAnsi="Arial" w:cs="Arial"/>
          <w:noProof/>
        </w:rPr>
        <w:drawing>
          <wp:inline distT="0" distB="0" distL="0" distR="0">
            <wp:extent cx="595805" cy="595805"/>
            <wp:effectExtent l="19050" t="0" r="0" b="0"/>
            <wp:docPr id="4" name="Picture 1" descr="C:\Users\rfrantu.DPSUSER\AppData\Local\Microsoft\Windows\Temporary Internet Files\Low\Content.IE5\745B81H5\qrcode.545019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frantu.DPSUSER\AppData\Local\Microsoft\Windows\Temporary Internet Files\Low\Content.IE5\745B81H5\qrcode.545019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95" cy="60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E13559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of the following ensures that people with disabilities have the same changes and opportunities in life as people without disabilities?</w:t>
      </w:r>
    </w:p>
    <w:p w:rsidR="00E13559" w:rsidRDefault="00E13559" w:rsidP="00E13559">
      <w:pPr>
        <w:pStyle w:val="ListParagraph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Equality of opportunity</w:t>
      </w:r>
    </w:p>
    <w:p w:rsidR="00E13559" w:rsidRDefault="00E13559" w:rsidP="00E13559">
      <w:pPr>
        <w:pStyle w:val="ListParagraph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Full participation </w:t>
      </w:r>
    </w:p>
    <w:p w:rsidR="00E13559" w:rsidRDefault="00E13559" w:rsidP="00E13559">
      <w:pPr>
        <w:pStyle w:val="ListParagraph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Independent living </w:t>
      </w:r>
    </w:p>
    <w:p w:rsidR="00E13559" w:rsidRDefault="00E13559" w:rsidP="00E13559">
      <w:pPr>
        <w:pStyle w:val="ListParagraph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Economic self-sufficiently</w:t>
      </w:r>
    </w:p>
    <w:p w:rsidR="00E13559" w:rsidRDefault="00E13559" w:rsidP="00E135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provision of IDEA (2004) which allows fair and specific procedures related to assessment, identification, and placement of children in special education is called which of the following?</w:t>
      </w:r>
    </w:p>
    <w:p w:rsidR="00E13559" w:rsidRDefault="00E13559" w:rsidP="00E13559">
      <w:pPr>
        <w:pStyle w:val="ListParagraph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Appropriate education </w:t>
      </w:r>
    </w:p>
    <w:p w:rsidR="00E13559" w:rsidRDefault="00E13559" w:rsidP="00E13559">
      <w:pPr>
        <w:pStyle w:val="ListParagraph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Procedural due process </w:t>
      </w:r>
    </w:p>
    <w:p w:rsidR="00E13559" w:rsidRDefault="00E13559" w:rsidP="00E13559">
      <w:pPr>
        <w:pStyle w:val="ListParagraph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Nondiscriminatory evaluation </w:t>
      </w:r>
    </w:p>
    <w:p w:rsidR="00E13559" w:rsidRDefault="00E13559" w:rsidP="00E13559">
      <w:pPr>
        <w:pStyle w:val="ListParagraph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Zero reject </w:t>
      </w:r>
    </w:p>
    <w:p w:rsidR="00E13559" w:rsidRDefault="00E13559" w:rsidP="00E135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process of determining if a student’s behavior is a direct result of a students’ disability is which of the following?</w:t>
      </w:r>
    </w:p>
    <w:p w:rsidR="00E13559" w:rsidRDefault="00E13559" w:rsidP="00E13559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Manifestation determination </w:t>
      </w:r>
    </w:p>
    <w:p w:rsidR="00E13559" w:rsidRDefault="00E13559" w:rsidP="00E13559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Equal treatment</w:t>
      </w:r>
    </w:p>
    <w:p w:rsidR="00E13559" w:rsidRDefault="00E13559" w:rsidP="00E13559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cessation</w:t>
      </w:r>
    </w:p>
    <w:p w:rsidR="00E13559" w:rsidRDefault="00E13559" w:rsidP="00E13559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Interim alternative placement </w:t>
      </w:r>
      <w:r w:rsidRPr="00E13559">
        <w:rPr>
          <w:rFonts w:ascii="Arial" w:hAnsi="Arial" w:cs="Arial"/>
          <w:sz w:val="20"/>
          <w:szCs w:val="20"/>
        </w:rPr>
        <w:t xml:space="preserve"> </w:t>
      </w:r>
    </w:p>
    <w:p w:rsidR="00E13559" w:rsidRDefault="00E13559" w:rsidP="00E135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of the following is a range of services from less to more restrictive that schools must offer to students with disabilities?</w:t>
      </w:r>
    </w:p>
    <w:p w:rsidR="00E13559" w:rsidRDefault="00E13559" w:rsidP="00E13559">
      <w:pPr>
        <w:pStyle w:val="ListParagraph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General education </w:t>
      </w:r>
    </w:p>
    <w:p w:rsidR="00E13559" w:rsidRDefault="00E13559" w:rsidP="00E13559">
      <w:pPr>
        <w:pStyle w:val="ListParagraph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Special education </w:t>
      </w:r>
    </w:p>
    <w:p w:rsidR="00E13559" w:rsidRDefault="00E13559" w:rsidP="00E13559">
      <w:pPr>
        <w:pStyle w:val="ListParagraph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Continuum of services </w:t>
      </w:r>
    </w:p>
    <w:p w:rsidR="00E13559" w:rsidRDefault="00E13559" w:rsidP="00E13559">
      <w:pPr>
        <w:pStyle w:val="ListParagraph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Least restrictive environment </w:t>
      </w:r>
    </w:p>
    <w:p w:rsidR="00E13559" w:rsidRDefault="00E13559" w:rsidP="00E135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ensure that all students with a disability receive an appropriate education and that schools are safe places for teaching and learning, IDEA regulates how schools do which of the following?</w:t>
      </w:r>
    </w:p>
    <w:p w:rsidR="00E13559" w:rsidRDefault="00E13559" w:rsidP="00E13559">
      <w:pPr>
        <w:pStyle w:val="ListParagraph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Discipline student who qualify for IDEA services </w:t>
      </w:r>
    </w:p>
    <w:p w:rsidR="00E13559" w:rsidRDefault="00E13559" w:rsidP="00E13559">
      <w:pPr>
        <w:pStyle w:val="ListParagraph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Communicate with parents </w:t>
      </w:r>
    </w:p>
    <w:p w:rsidR="00E13559" w:rsidRDefault="00E13559" w:rsidP="00E13559">
      <w:pPr>
        <w:pStyle w:val="ListParagraph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Report grades and progress for students who qualify for IDEA services </w:t>
      </w:r>
    </w:p>
    <w:p w:rsidR="00E13559" w:rsidRPr="00E13559" w:rsidRDefault="00E13559" w:rsidP="00E13559">
      <w:pPr>
        <w:pStyle w:val="ListParagraph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Choose the special education curriculum </w:t>
      </w:r>
    </w:p>
    <w:p w:rsidR="00E13559" w:rsidRPr="00E13559" w:rsidRDefault="00E13559" w:rsidP="00E1355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4F0B0E" w:rsidRDefault="00E13559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pict>
          <v:shape id="_x0000_s1050" type="#_x0000_t202" style="position:absolute;margin-left:1.25pt;margin-top:8.2pt;width:533.8pt;height:199.85pt;z-index:251659264">
            <v:textbox>
              <w:txbxContent>
                <w:p w:rsidR="00E13559" w:rsidRDefault="00E13559">
                  <w:r>
                    <w:t>Discuss your scenario and answer the question. Jot down your answers and rational.</w:t>
                  </w:r>
                </w:p>
              </w:txbxContent>
            </v:textbox>
          </v:shape>
        </w:pict>
      </w:r>
    </w:p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1919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064572" w:rsidTr="00064572"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0-2 points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 points 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 points 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 points </w:t>
            </w:r>
          </w:p>
        </w:tc>
      </w:tr>
      <w:tr w:rsidR="00064572" w:rsidTr="00064572"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Little or no completion of the portions of the</w:t>
            </w:r>
            <w:r>
              <w:rPr>
                <w:rFonts w:ascii="Arial" w:hAnsi="Arial" w:cs="Arial"/>
                <w:sz w:val="20"/>
                <w:szCs w:val="20"/>
              </w:rPr>
              <w:t xml:space="preserve"> exit slip; lacks </w:t>
            </w:r>
            <w:r>
              <w:rPr>
                <w:rFonts w:ascii="Arial" w:hAnsi="Arial" w:cs="Arial"/>
                <w:sz w:val="20"/>
                <w:szCs w:val="20"/>
              </w:rPr>
              <w:t xml:space="preserve">understanding </w:t>
            </w:r>
            <w:r>
              <w:rPr>
                <w:rFonts w:ascii="Arial" w:hAnsi="Arial" w:cs="Arial"/>
                <w:sz w:val="20"/>
                <w:szCs w:val="20"/>
              </w:rPr>
              <w:t>of the basic principles of special education; little or no reflection on inclusion practices while they were in school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some of the portions of the exit slip; partial understanding  understanding </w:t>
            </w:r>
            <w:r>
              <w:rPr>
                <w:rFonts w:ascii="Arial" w:hAnsi="Arial" w:cs="Arial"/>
                <w:sz w:val="20"/>
                <w:szCs w:val="20"/>
              </w:rPr>
              <w:t>of the basic principles of special education; poor reflection on inclusion  practices while they were in school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Completes most of the portions of the exit slip; mostly understands  </w:t>
            </w:r>
            <w:r>
              <w:rPr>
                <w:rFonts w:ascii="Arial" w:hAnsi="Arial" w:cs="Arial"/>
                <w:sz w:val="20"/>
                <w:szCs w:val="20"/>
              </w:rPr>
              <w:t xml:space="preserve"> the basic principles of special education; reflects on inclusion practices while they were in school</w:t>
            </w:r>
          </w:p>
        </w:tc>
        <w:tc>
          <w:tcPr>
            <w:tcW w:w="2754" w:type="dxa"/>
          </w:tcPr>
          <w:p w:rsidR="00064572" w:rsidRDefault="00064572" w:rsidP="000645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Completed all portions of the exit slip; indication of an understanding </w:t>
            </w:r>
            <w:r>
              <w:rPr>
                <w:rFonts w:ascii="Arial" w:hAnsi="Arial" w:cs="Arial"/>
                <w:sz w:val="20"/>
                <w:szCs w:val="20"/>
              </w:rPr>
              <w:t>of the basic principles of special education; thoughtful reflection on inclusion practices while they were in school</w:t>
            </w:r>
          </w:p>
        </w:tc>
      </w:tr>
    </w:tbl>
    <w:p w:rsidR="004F0B0E" w:rsidRDefault="004F0B0E" w:rsidP="00E74D09">
      <w:pPr>
        <w:rPr>
          <w:rFonts w:ascii="Arial" w:hAnsi="Arial" w:cs="Arial"/>
          <w:sz w:val="20"/>
          <w:szCs w:val="20"/>
        </w:rPr>
      </w:pPr>
    </w:p>
    <w:p w:rsidR="00E74D09" w:rsidRPr="00E74D09" w:rsidRDefault="00064572" w:rsidP="00E74D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51" type="#_x0000_t202" style="position:absolute;margin-left:1.25pt;margin-top:150.4pt;width:533.8pt;height:392.1pt;z-index:251660288">
            <v:textbox>
              <w:txbxContent>
                <w:p w:rsidR="00E13559" w:rsidRDefault="00064572" w:rsidP="00E13559">
                  <w:r>
                    <w:t xml:space="preserve">Do you recall students with disabilities attending school alongside </w:t>
                  </w:r>
                  <w:proofErr w:type="gramStart"/>
                  <w:r>
                    <w:t>yourself  while</w:t>
                  </w:r>
                  <w:proofErr w:type="gramEnd"/>
                  <w:r>
                    <w:t xml:space="preserve"> you were in elementary school? If so describe your experience. If not, then describe why you think there were no students with disabilities attending school with you?</w:t>
                  </w:r>
                </w:p>
              </w:txbxContent>
            </v:textbox>
          </v:shape>
        </w:pict>
      </w:r>
    </w:p>
    <w:sectPr w:rsidR="00E74D09" w:rsidRPr="00E74D09" w:rsidSect="00BB4BC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50A3"/>
    <w:multiLevelType w:val="hybridMultilevel"/>
    <w:tmpl w:val="78DAA15C"/>
    <w:lvl w:ilvl="0" w:tplc="040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38A01C1"/>
    <w:multiLevelType w:val="multilevel"/>
    <w:tmpl w:val="D28A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B5B0F"/>
    <w:multiLevelType w:val="hybridMultilevel"/>
    <w:tmpl w:val="2F44B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C0D39"/>
    <w:multiLevelType w:val="multilevel"/>
    <w:tmpl w:val="3B8C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6C1FFF"/>
    <w:multiLevelType w:val="hybridMultilevel"/>
    <w:tmpl w:val="66D42A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8344B"/>
    <w:multiLevelType w:val="hybridMultilevel"/>
    <w:tmpl w:val="A248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8737E"/>
    <w:multiLevelType w:val="hybridMultilevel"/>
    <w:tmpl w:val="05BA15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B35E3"/>
    <w:multiLevelType w:val="hybridMultilevel"/>
    <w:tmpl w:val="0AA8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532E5"/>
    <w:multiLevelType w:val="multilevel"/>
    <w:tmpl w:val="57524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11F7C8B"/>
    <w:multiLevelType w:val="hybridMultilevel"/>
    <w:tmpl w:val="CB38BE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068E4"/>
    <w:multiLevelType w:val="hybridMultilevel"/>
    <w:tmpl w:val="71C86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A2079"/>
    <w:multiLevelType w:val="hybridMultilevel"/>
    <w:tmpl w:val="E932D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A3950"/>
    <w:multiLevelType w:val="hybridMultilevel"/>
    <w:tmpl w:val="6E9CE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95E7E"/>
    <w:multiLevelType w:val="hybridMultilevel"/>
    <w:tmpl w:val="B158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D30B34"/>
    <w:multiLevelType w:val="hybridMultilevel"/>
    <w:tmpl w:val="E018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54CBD"/>
    <w:multiLevelType w:val="multilevel"/>
    <w:tmpl w:val="48C2A0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E0C2E58"/>
    <w:multiLevelType w:val="hybridMultilevel"/>
    <w:tmpl w:val="D2827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577368"/>
    <w:multiLevelType w:val="multilevel"/>
    <w:tmpl w:val="514C4A9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01E3315"/>
    <w:multiLevelType w:val="hybridMultilevel"/>
    <w:tmpl w:val="F766A976"/>
    <w:lvl w:ilvl="0" w:tplc="8C761E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DF50F2"/>
    <w:multiLevelType w:val="hybridMultilevel"/>
    <w:tmpl w:val="FF900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43150"/>
    <w:multiLevelType w:val="hybridMultilevel"/>
    <w:tmpl w:val="B4D0F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944A4A"/>
    <w:multiLevelType w:val="hybridMultilevel"/>
    <w:tmpl w:val="953EE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70429D"/>
    <w:multiLevelType w:val="hybridMultilevel"/>
    <w:tmpl w:val="6F36E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C20A0C"/>
    <w:multiLevelType w:val="hybridMultilevel"/>
    <w:tmpl w:val="F6E40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404ED"/>
    <w:multiLevelType w:val="hybridMultilevel"/>
    <w:tmpl w:val="75C44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55E53"/>
    <w:multiLevelType w:val="multilevel"/>
    <w:tmpl w:val="D0B665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FD02433"/>
    <w:multiLevelType w:val="hybridMultilevel"/>
    <w:tmpl w:val="CBCA99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D2548F"/>
    <w:multiLevelType w:val="hybridMultilevel"/>
    <w:tmpl w:val="8C5061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34014F"/>
    <w:multiLevelType w:val="hybridMultilevel"/>
    <w:tmpl w:val="7B0605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C71A0"/>
    <w:multiLevelType w:val="hybridMultilevel"/>
    <w:tmpl w:val="4CE8C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1A5C7D"/>
    <w:multiLevelType w:val="hybridMultilevel"/>
    <w:tmpl w:val="499A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846D26"/>
    <w:multiLevelType w:val="hybridMultilevel"/>
    <w:tmpl w:val="DDF0C0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B0440"/>
    <w:multiLevelType w:val="hybridMultilevel"/>
    <w:tmpl w:val="73C856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5C11A8"/>
    <w:multiLevelType w:val="hybridMultilevel"/>
    <w:tmpl w:val="F21005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D77BEB"/>
    <w:multiLevelType w:val="hybridMultilevel"/>
    <w:tmpl w:val="B6882D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F265AE"/>
    <w:multiLevelType w:val="hybridMultilevel"/>
    <w:tmpl w:val="B3EE69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643CD"/>
    <w:multiLevelType w:val="hybridMultilevel"/>
    <w:tmpl w:val="A3627D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34091E"/>
    <w:multiLevelType w:val="hybridMultilevel"/>
    <w:tmpl w:val="C4AA1F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8414B4"/>
    <w:multiLevelType w:val="hybridMultilevel"/>
    <w:tmpl w:val="4D2888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A6E1EE5"/>
    <w:multiLevelType w:val="hybridMultilevel"/>
    <w:tmpl w:val="F01E6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277FD1"/>
    <w:multiLevelType w:val="hybridMultilevel"/>
    <w:tmpl w:val="7B8AD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6E2847"/>
    <w:multiLevelType w:val="hybridMultilevel"/>
    <w:tmpl w:val="52C49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B585B"/>
    <w:multiLevelType w:val="hybridMultilevel"/>
    <w:tmpl w:val="224AF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13"/>
  </w:num>
  <w:num w:numId="5">
    <w:abstractNumId w:val="22"/>
  </w:num>
  <w:num w:numId="6">
    <w:abstractNumId w:val="34"/>
  </w:num>
  <w:num w:numId="7">
    <w:abstractNumId w:val="0"/>
  </w:num>
  <w:num w:numId="8">
    <w:abstractNumId w:val="10"/>
  </w:num>
  <w:num w:numId="9">
    <w:abstractNumId w:val="33"/>
  </w:num>
  <w:num w:numId="10">
    <w:abstractNumId w:val="29"/>
  </w:num>
  <w:num w:numId="11">
    <w:abstractNumId w:val="42"/>
  </w:num>
  <w:num w:numId="12">
    <w:abstractNumId w:val="12"/>
  </w:num>
  <w:num w:numId="13">
    <w:abstractNumId w:val="36"/>
  </w:num>
  <w:num w:numId="14">
    <w:abstractNumId w:val="16"/>
  </w:num>
  <w:num w:numId="15">
    <w:abstractNumId w:val="5"/>
  </w:num>
  <w:num w:numId="16">
    <w:abstractNumId w:val="14"/>
  </w:num>
  <w:num w:numId="17">
    <w:abstractNumId w:val="23"/>
  </w:num>
  <w:num w:numId="18">
    <w:abstractNumId w:val="11"/>
  </w:num>
  <w:num w:numId="19">
    <w:abstractNumId w:val="20"/>
  </w:num>
  <w:num w:numId="20">
    <w:abstractNumId w:val="9"/>
  </w:num>
  <w:num w:numId="21">
    <w:abstractNumId w:val="4"/>
  </w:num>
  <w:num w:numId="22">
    <w:abstractNumId w:val="3"/>
  </w:num>
  <w:num w:numId="23">
    <w:abstractNumId w:val="1"/>
  </w:num>
  <w:num w:numId="24">
    <w:abstractNumId w:val="17"/>
  </w:num>
  <w:num w:numId="25">
    <w:abstractNumId w:val="8"/>
  </w:num>
  <w:num w:numId="26">
    <w:abstractNumId w:val="25"/>
  </w:num>
  <w:num w:numId="27">
    <w:abstractNumId w:val="15"/>
  </w:num>
  <w:num w:numId="28">
    <w:abstractNumId w:val="26"/>
  </w:num>
  <w:num w:numId="29">
    <w:abstractNumId w:val="39"/>
  </w:num>
  <w:num w:numId="30">
    <w:abstractNumId w:val="19"/>
  </w:num>
  <w:num w:numId="31">
    <w:abstractNumId w:val="38"/>
  </w:num>
  <w:num w:numId="32">
    <w:abstractNumId w:val="21"/>
  </w:num>
  <w:num w:numId="33">
    <w:abstractNumId w:val="31"/>
  </w:num>
  <w:num w:numId="34">
    <w:abstractNumId w:val="7"/>
  </w:num>
  <w:num w:numId="35">
    <w:abstractNumId w:val="2"/>
  </w:num>
  <w:num w:numId="36">
    <w:abstractNumId w:val="40"/>
  </w:num>
  <w:num w:numId="37">
    <w:abstractNumId w:val="28"/>
  </w:num>
  <w:num w:numId="38">
    <w:abstractNumId w:val="27"/>
  </w:num>
  <w:num w:numId="39">
    <w:abstractNumId w:val="41"/>
  </w:num>
  <w:num w:numId="40">
    <w:abstractNumId w:val="32"/>
  </w:num>
  <w:num w:numId="41">
    <w:abstractNumId w:val="30"/>
  </w:num>
  <w:num w:numId="42">
    <w:abstractNumId w:val="18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21D12"/>
    <w:rsid w:val="00001C3D"/>
    <w:rsid w:val="00013150"/>
    <w:rsid w:val="0001744F"/>
    <w:rsid w:val="0005143F"/>
    <w:rsid w:val="000518F2"/>
    <w:rsid w:val="00064572"/>
    <w:rsid w:val="00064FCA"/>
    <w:rsid w:val="0008437E"/>
    <w:rsid w:val="000869DF"/>
    <w:rsid w:val="00086E08"/>
    <w:rsid w:val="000949DC"/>
    <w:rsid w:val="00097DD7"/>
    <w:rsid w:val="000B1F9A"/>
    <w:rsid w:val="000C6D6A"/>
    <w:rsid w:val="000E7F19"/>
    <w:rsid w:val="00137F43"/>
    <w:rsid w:val="001401A3"/>
    <w:rsid w:val="00186375"/>
    <w:rsid w:val="001912A4"/>
    <w:rsid w:val="00225E6D"/>
    <w:rsid w:val="002460F4"/>
    <w:rsid w:val="00252CC5"/>
    <w:rsid w:val="00274352"/>
    <w:rsid w:val="002A0F26"/>
    <w:rsid w:val="002A7B23"/>
    <w:rsid w:val="002D0E99"/>
    <w:rsid w:val="002E596B"/>
    <w:rsid w:val="002F176F"/>
    <w:rsid w:val="002F1ABE"/>
    <w:rsid w:val="00312C51"/>
    <w:rsid w:val="00315813"/>
    <w:rsid w:val="00346937"/>
    <w:rsid w:val="0035310E"/>
    <w:rsid w:val="00382BEC"/>
    <w:rsid w:val="003A6757"/>
    <w:rsid w:val="003B5774"/>
    <w:rsid w:val="003C47D3"/>
    <w:rsid w:val="003D17D6"/>
    <w:rsid w:val="003F5A36"/>
    <w:rsid w:val="003F741B"/>
    <w:rsid w:val="00404748"/>
    <w:rsid w:val="004059E1"/>
    <w:rsid w:val="00406E18"/>
    <w:rsid w:val="00445C2B"/>
    <w:rsid w:val="0047641D"/>
    <w:rsid w:val="004B2958"/>
    <w:rsid w:val="004B51E0"/>
    <w:rsid w:val="004D7E1D"/>
    <w:rsid w:val="004F0B0E"/>
    <w:rsid w:val="004F47CD"/>
    <w:rsid w:val="005132B7"/>
    <w:rsid w:val="005240C9"/>
    <w:rsid w:val="00527B6F"/>
    <w:rsid w:val="00535026"/>
    <w:rsid w:val="005D13DA"/>
    <w:rsid w:val="005D6223"/>
    <w:rsid w:val="005E02FF"/>
    <w:rsid w:val="005E4AE3"/>
    <w:rsid w:val="00623308"/>
    <w:rsid w:val="006B0024"/>
    <w:rsid w:val="006B22A1"/>
    <w:rsid w:val="006D1716"/>
    <w:rsid w:val="006F2D17"/>
    <w:rsid w:val="0070509F"/>
    <w:rsid w:val="007233BC"/>
    <w:rsid w:val="00743782"/>
    <w:rsid w:val="0075764E"/>
    <w:rsid w:val="00762CCF"/>
    <w:rsid w:val="007648E5"/>
    <w:rsid w:val="00797153"/>
    <w:rsid w:val="007C7919"/>
    <w:rsid w:val="007E24D0"/>
    <w:rsid w:val="008105CD"/>
    <w:rsid w:val="00812E4B"/>
    <w:rsid w:val="00865998"/>
    <w:rsid w:val="008757E1"/>
    <w:rsid w:val="00876902"/>
    <w:rsid w:val="008C1D94"/>
    <w:rsid w:val="008C528E"/>
    <w:rsid w:val="008F4F85"/>
    <w:rsid w:val="0091048D"/>
    <w:rsid w:val="009717DE"/>
    <w:rsid w:val="009919C6"/>
    <w:rsid w:val="009B7BCA"/>
    <w:rsid w:val="00A42EE2"/>
    <w:rsid w:val="00A46C1D"/>
    <w:rsid w:val="00A66BF7"/>
    <w:rsid w:val="00AB30F7"/>
    <w:rsid w:val="00AC6BC2"/>
    <w:rsid w:val="00B15F2D"/>
    <w:rsid w:val="00B1640A"/>
    <w:rsid w:val="00B33108"/>
    <w:rsid w:val="00B65149"/>
    <w:rsid w:val="00B72050"/>
    <w:rsid w:val="00B724AB"/>
    <w:rsid w:val="00B74B56"/>
    <w:rsid w:val="00B84395"/>
    <w:rsid w:val="00B968B1"/>
    <w:rsid w:val="00BB4BC7"/>
    <w:rsid w:val="00BB5D8F"/>
    <w:rsid w:val="00BC0C36"/>
    <w:rsid w:val="00BD772A"/>
    <w:rsid w:val="00C3296C"/>
    <w:rsid w:val="00C40957"/>
    <w:rsid w:val="00C42128"/>
    <w:rsid w:val="00C61742"/>
    <w:rsid w:val="00C675FA"/>
    <w:rsid w:val="00CA3CD4"/>
    <w:rsid w:val="00CB0B8F"/>
    <w:rsid w:val="00CC36CE"/>
    <w:rsid w:val="00CD140B"/>
    <w:rsid w:val="00CD4D0D"/>
    <w:rsid w:val="00CE72E5"/>
    <w:rsid w:val="00D0543F"/>
    <w:rsid w:val="00D21D12"/>
    <w:rsid w:val="00D23D2A"/>
    <w:rsid w:val="00D323EE"/>
    <w:rsid w:val="00D61976"/>
    <w:rsid w:val="00D91047"/>
    <w:rsid w:val="00DB65D0"/>
    <w:rsid w:val="00DD4488"/>
    <w:rsid w:val="00DF4E50"/>
    <w:rsid w:val="00E13559"/>
    <w:rsid w:val="00E201B2"/>
    <w:rsid w:val="00E2144F"/>
    <w:rsid w:val="00E26C39"/>
    <w:rsid w:val="00E74D09"/>
    <w:rsid w:val="00E902FE"/>
    <w:rsid w:val="00EB010A"/>
    <w:rsid w:val="00EB703D"/>
    <w:rsid w:val="00EB7BAC"/>
    <w:rsid w:val="00EC4B54"/>
    <w:rsid w:val="00F071AB"/>
    <w:rsid w:val="00F10640"/>
    <w:rsid w:val="00F210A6"/>
    <w:rsid w:val="00F3563E"/>
    <w:rsid w:val="00F371F5"/>
    <w:rsid w:val="00F375C9"/>
    <w:rsid w:val="00F439AD"/>
    <w:rsid w:val="00F54E2C"/>
    <w:rsid w:val="00F632E4"/>
    <w:rsid w:val="00FB27EE"/>
    <w:rsid w:val="00FB4BEF"/>
    <w:rsid w:val="00FF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D12"/>
    <w:pPr>
      <w:ind w:left="720"/>
      <w:contextualSpacing/>
    </w:pPr>
  </w:style>
  <w:style w:type="table" w:styleId="TableGrid">
    <w:name w:val="Table Grid"/>
    <w:basedOn w:val="TableNormal"/>
    <w:uiPriority w:val="59"/>
    <w:rsid w:val="00D21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D21D12"/>
  </w:style>
  <w:style w:type="character" w:styleId="Hyperlink">
    <w:name w:val="Hyperlink"/>
    <w:basedOn w:val="DefaultParagraphFont"/>
    <w:uiPriority w:val="99"/>
    <w:unhideWhenUsed/>
    <w:rsid w:val="004F47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6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C4B5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7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Robert Frantum-Allen</cp:lastModifiedBy>
  <cp:revision>3</cp:revision>
  <cp:lastPrinted>2011-01-05T21:17:00Z</cp:lastPrinted>
  <dcterms:created xsi:type="dcterms:W3CDTF">2012-06-16T17:41:00Z</dcterms:created>
  <dcterms:modified xsi:type="dcterms:W3CDTF">2012-06-16T17:58:00Z</dcterms:modified>
</cp:coreProperties>
</file>